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8838"/>
      </w:tblGrid>
      <w:tr w:rsidR="007750D7" w:rsidRPr="007750D7" w:rsidTr="007750D7">
        <w:tc>
          <w:tcPr>
            <w:tcW w:w="0" w:type="auto"/>
            <w:tcBorders>
              <w:top w:val="nil"/>
              <w:left w:val="nil"/>
              <w:bottom w:val="nil"/>
              <w:right w:val="nil"/>
            </w:tcBorders>
            <w:vAlign w:val="center"/>
            <w:hideMark/>
          </w:tcPr>
          <w:p w:rsidR="007750D7" w:rsidRPr="007750D7" w:rsidRDefault="007750D7" w:rsidP="007750D7">
            <w:pPr>
              <w:spacing w:after="0" w:line="240" w:lineRule="auto"/>
              <w:rPr>
                <w:rFonts w:ascii="Verdana" w:eastAsia="Times New Roman" w:hAnsi="Verdana" w:cs="Times New Roman"/>
                <w:b/>
                <w:bCs/>
                <w:color w:val="990000"/>
                <w:lang w:val="es-SV" w:eastAsia="es-SV"/>
              </w:rPr>
            </w:pPr>
            <w:r w:rsidRPr="007750D7">
              <w:rPr>
                <w:rFonts w:ascii="Verdana" w:eastAsia="Times New Roman" w:hAnsi="Verdana" w:cs="Times New Roman"/>
                <w:b/>
                <w:bCs/>
                <w:color w:val="990000"/>
                <w:lang w:val="es-ES" w:eastAsia="es-SV"/>
              </w:rPr>
              <w:t>Lecturas de Auditoría</w:t>
            </w:r>
          </w:p>
        </w:tc>
      </w:tr>
      <w:tr w:rsidR="007750D7" w:rsidRPr="007750D7" w:rsidTr="007750D7">
        <w:tc>
          <w:tcPr>
            <w:tcW w:w="0" w:type="auto"/>
            <w:tcBorders>
              <w:top w:val="nil"/>
              <w:left w:val="nil"/>
              <w:bottom w:val="nil"/>
              <w:right w:val="nil"/>
            </w:tcBorders>
            <w:shd w:val="clear" w:color="auto" w:fill="FFFFCA"/>
            <w:tcMar>
              <w:top w:w="150" w:type="dxa"/>
              <w:left w:w="0" w:type="dxa"/>
              <w:bottom w:w="0" w:type="dxa"/>
              <w:right w:w="0" w:type="dxa"/>
            </w:tcMar>
            <w:vAlign w:val="center"/>
            <w:hideMark/>
          </w:tcPr>
          <w:p w:rsidR="007750D7" w:rsidRPr="007750D7" w:rsidRDefault="007750D7" w:rsidP="007750D7">
            <w:pPr>
              <w:spacing w:after="0" w:line="240" w:lineRule="auto"/>
              <w:jc w:val="center"/>
              <w:rPr>
                <w:rFonts w:ascii="Verdana" w:eastAsia="Times New Roman" w:hAnsi="Verdana" w:cs="Times New Roman"/>
                <w:b/>
                <w:bCs/>
                <w:color w:val="000066"/>
                <w:sz w:val="20"/>
                <w:szCs w:val="20"/>
                <w:lang w:val="es-SV" w:eastAsia="es-SV"/>
              </w:rPr>
            </w:pPr>
            <w:r w:rsidRPr="007750D7">
              <w:rPr>
                <w:rFonts w:ascii="Verdana" w:eastAsia="Times New Roman" w:hAnsi="Verdana" w:cs="Times New Roman"/>
                <w:b/>
                <w:bCs/>
                <w:color w:val="008080"/>
                <w:sz w:val="36"/>
                <w:szCs w:val="36"/>
                <w:lang w:val="es-SV" w:eastAsia="es-SV"/>
              </w:rPr>
              <w:t>Normas Internacionales de  Auditoría *</w:t>
            </w:r>
          </w:p>
        </w:tc>
      </w:tr>
      <w:tr w:rsidR="007750D7" w:rsidRPr="007750D7" w:rsidTr="007750D7">
        <w:tc>
          <w:tcPr>
            <w:tcW w:w="0" w:type="auto"/>
            <w:tcBorders>
              <w:top w:val="nil"/>
              <w:left w:val="nil"/>
              <w:bottom w:val="nil"/>
              <w:right w:val="nil"/>
            </w:tcBorders>
            <w:shd w:val="clear" w:color="auto" w:fill="FFFFCA"/>
            <w:tcMar>
              <w:top w:w="0" w:type="dxa"/>
              <w:left w:w="225" w:type="dxa"/>
              <w:bottom w:w="75" w:type="dxa"/>
              <w:right w:w="225" w:type="dxa"/>
            </w:tcMar>
            <w:vAlign w:val="center"/>
            <w:hideMark/>
          </w:tcPr>
          <w:p w:rsidR="007750D7" w:rsidRPr="007750D7" w:rsidRDefault="007750D7" w:rsidP="007750D7">
            <w:pPr>
              <w:spacing w:before="100" w:beforeAutospacing="1" w:after="100" w:afterAutospacing="1" w:line="240" w:lineRule="auto"/>
              <w:jc w:val="center"/>
              <w:rPr>
                <w:rFonts w:ascii="Verdana" w:eastAsia="Times New Roman" w:hAnsi="Verdana" w:cs="Times New Roman"/>
                <w:color w:val="000000"/>
                <w:sz w:val="16"/>
                <w:szCs w:val="16"/>
                <w:lang w:val="es-SV" w:eastAsia="es-SV"/>
              </w:rPr>
            </w:pPr>
            <w:r w:rsidRPr="007750D7">
              <w:rPr>
                <w:rFonts w:ascii="Verdana" w:eastAsia="Times New Roman" w:hAnsi="Verdana" w:cs="Times New Roman"/>
                <w:b/>
                <w:bCs/>
                <w:color w:val="008000"/>
                <w:sz w:val="27"/>
                <w:szCs w:val="27"/>
                <w:lang w:val="es-SV" w:eastAsia="es-SV"/>
              </w:rPr>
              <w:t>Evidencia de Auditoría</w:t>
            </w:r>
          </w:p>
        </w:tc>
      </w:tr>
      <w:tr w:rsidR="007750D7" w:rsidRPr="007750D7" w:rsidTr="007750D7">
        <w:tc>
          <w:tcPr>
            <w:tcW w:w="5000" w:type="pct"/>
            <w:tcBorders>
              <w:top w:val="nil"/>
              <w:left w:val="nil"/>
              <w:bottom w:val="nil"/>
              <w:right w:val="nil"/>
            </w:tcBorders>
            <w:shd w:val="clear" w:color="auto" w:fill="FFFFCA"/>
            <w:vAlign w:val="center"/>
            <w:hideMark/>
          </w:tcPr>
          <w:tbl>
            <w:tblPr>
              <w:tblW w:w="0" w:type="auto"/>
              <w:tblCellMar>
                <w:left w:w="0" w:type="dxa"/>
                <w:right w:w="0" w:type="dxa"/>
              </w:tblCellMar>
              <w:tblLook w:val="04A0"/>
            </w:tblPr>
            <w:tblGrid>
              <w:gridCol w:w="8838"/>
            </w:tblGrid>
            <w:tr w:rsidR="007750D7" w:rsidRPr="007750D7">
              <w:trPr>
                <w:cantSplit/>
              </w:trPr>
              <w:tc>
                <w:tcPr>
                  <w:tcW w:w="9993" w:type="dxa"/>
                  <w:tcMar>
                    <w:top w:w="0" w:type="dxa"/>
                    <w:left w:w="70" w:type="dxa"/>
                    <w:bottom w:w="0" w:type="dxa"/>
                    <w:right w:w="70" w:type="dxa"/>
                  </w:tcMar>
                  <w:vAlign w:val="center"/>
                  <w:hideMark/>
                </w:tcPr>
                <w:p w:rsidR="007750D7" w:rsidRPr="007750D7" w:rsidRDefault="007750D7" w:rsidP="007750D7">
                  <w:pPr>
                    <w:spacing w:after="0" w:line="240" w:lineRule="auto"/>
                    <w:jc w:val="center"/>
                    <w:rPr>
                      <w:rFonts w:ascii="Times New Roman" w:eastAsia="Times New Roman" w:hAnsi="Times New Roman" w:cs="Times New Roman"/>
                      <w:sz w:val="20"/>
                      <w:szCs w:val="20"/>
                      <w:lang w:val="es-SV" w:eastAsia="es-SV"/>
                    </w:rPr>
                  </w:pPr>
                  <w:r w:rsidRPr="007750D7">
                    <w:rPr>
                      <w:rFonts w:ascii="Times New Roman" w:eastAsia="Times New Roman" w:hAnsi="Times New Roman" w:cs="Times New Roman"/>
                      <w:sz w:val="20"/>
                      <w:szCs w:val="20"/>
                      <w:lang w:val="es-SV" w:eastAsia="es-SV"/>
                    </w:rPr>
                    <w:t> </w:t>
                  </w:r>
                </w:p>
                <w:p w:rsidR="007750D7" w:rsidRPr="007750D7" w:rsidRDefault="007750D7" w:rsidP="007750D7">
                  <w:pPr>
                    <w:spacing w:after="0" w:line="240" w:lineRule="auto"/>
                    <w:jc w:val="center"/>
                    <w:rPr>
                      <w:rFonts w:ascii="Times New Roman" w:eastAsia="Times New Roman" w:hAnsi="Times New Roman" w:cs="Times New Roman"/>
                      <w:sz w:val="24"/>
                      <w:szCs w:val="24"/>
                      <w:lang w:val="es-SV" w:eastAsia="es-SV"/>
                    </w:rPr>
                  </w:pPr>
                  <w:r w:rsidRPr="007750D7">
                    <w:rPr>
                      <w:rFonts w:ascii="Verdana" w:eastAsia="Times New Roman" w:hAnsi="Verdana" w:cs="Times New Roman"/>
                      <w:b/>
                      <w:bCs/>
                      <w:color w:val="008000"/>
                      <w:sz w:val="24"/>
                      <w:szCs w:val="24"/>
                      <w:lang w:val="es-CO" w:eastAsia="es-SV"/>
                    </w:rPr>
                    <w:t>500.  EVIDENCIA DE AUDITORÍA</w:t>
                  </w:r>
                </w:p>
                <w:p w:rsidR="007750D7" w:rsidRPr="007750D7" w:rsidRDefault="007750D7" w:rsidP="007750D7">
                  <w:pPr>
                    <w:spacing w:after="0" w:line="240" w:lineRule="auto"/>
                    <w:rPr>
                      <w:rFonts w:ascii="Times New Roman" w:eastAsia="Times New Roman" w:hAnsi="Times New Roman" w:cs="Times New Roman"/>
                      <w:sz w:val="24"/>
                      <w:szCs w:val="24"/>
                      <w:lang w:val="es-SV" w:eastAsia="es-SV"/>
                    </w:rPr>
                  </w:pPr>
                  <w:r w:rsidRPr="007750D7">
                    <w:rPr>
                      <w:rFonts w:ascii="Verdana" w:eastAsia="Times New Roman" w:hAnsi="Verdana" w:cs="Times New Roman"/>
                      <w:b/>
                      <w:bCs/>
                      <w:color w:val="008000"/>
                      <w:sz w:val="24"/>
                      <w:szCs w:val="24"/>
                      <w:lang w:val="es-CO" w:eastAsia="es-SV"/>
                    </w:rPr>
                    <w:t> </w:t>
                  </w:r>
                </w:p>
                <w:p w:rsidR="007750D7" w:rsidRPr="007750D7" w:rsidRDefault="007750D7" w:rsidP="007750D7">
                  <w:pPr>
                    <w:spacing w:after="0" w:line="240" w:lineRule="auto"/>
                    <w:rPr>
                      <w:rFonts w:ascii="Times New Roman" w:eastAsia="Times New Roman" w:hAnsi="Times New Roman" w:cs="Times New Roman"/>
                      <w:sz w:val="24"/>
                      <w:szCs w:val="24"/>
                      <w:lang w:val="es-SV" w:eastAsia="es-SV"/>
                    </w:rPr>
                  </w:pPr>
                  <w:r w:rsidRPr="007750D7">
                    <w:rPr>
                      <w:rFonts w:ascii="Verdana" w:eastAsia="Times New Roman" w:hAnsi="Verdana" w:cs="Times New Roman"/>
                      <w:b/>
                      <w:bCs/>
                      <w:color w:val="008000"/>
                      <w:sz w:val="24"/>
                      <w:szCs w:val="24"/>
                      <w:lang w:val="es-CO" w:eastAsia="es-SV"/>
                    </w:rPr>
                    <w:t>Introducción</w:t>
                  </w:r>
                </w:p>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color w:val="008000"/>
                      <w:sz w:val="24"/>
                      <w:szCs w:val="24"/>
                      <w:lang w:val="es-CO" w:eastAsia="es-SV"/>
                    </w:rPr>
                    <w:t> </w:t>
                  </w:r>
                </w:p>
                <w:p w:rsidR="007750D7" w:rsidRPr="007750D7" w:rsidRDefault="007750D7" w:rsidP="007750D7">
                  <w:pPr>
                    <w:spacing w:after="0" w:line="240" w:lineRule="auto"/>
                    <w:rPr>
                      <w:rFonts w:ascii="Times New Roman" w:eastAsia="Times New Roman" w:hAnsi="Times New Roman" w:cs="Times New Roman"/>
                      <w:sz w:val="20"/>
                      <w:szCs w:val="20"/>
                      <w:lang w:val="es-SV" w:eastAsia="es-SV"/>
                    </w:rPr>
                  </w:pPr>
                  <w:r w:rsidRPr="007750D7">
                    <w:rPr>
                      <w:rFonts w:ascii="Verdana" w:eastAsia="Times New Roman" w:hAnsi="Verdana" w:cs="Times New Roman"/>
                      <w:sz w:val="20"/>
                      <w:szCs w:val="20"/>
                      <w:lang w:val="es-CO" w:eastAsia="es-SV"/>
                    </w:rPr>
                    <w:t>El propósito de esta Norma Internacional de auditoría (NIA) es establecer normas y proporcionar lineamientos sobre la cantidad y calidad de evidencia de auditoría que se tiene que obtener cuando se auditan estados financieros, y los procedimientos para obtener dicha evidencia de auditoría.</w:t>
                  </w:r>
                </w:p>
                <w:p w:rsidR="007750D7" w:rsidRPr="007750D7" w:rsidRDefault="007750D7" w:rsidP="007750D7">
                  <w:pPr>
                    <w:spacing w:after="0" w:line="240" w:lineRule="auto"/>
                    <w:rPr>
                      <w:rFonts w:ascii="Times New Roman" w:eastAsia="Times New Roman" w:hAnsi="Times New Roman" w:cs="Times New Roman"/>
                      <w:sz w:val="20"/>
                      <w:szCs w:val="20"/>
                      <w:lang w:val="es-SV" w:eastAsia="es-SV"/>
                    </w:rPr>
                  </w:pPr>
                  <w:r w:rsidRPr="007750D7">
                    <w:rPr>
                      <w:rFonts w:ascii="Verdana" w:eastAsia="Times New Roman" w:hAnsi="Verdana" w:cs="Times New Roman"/>
                      <w:sz w:val="20"/>
                      <w:szCs w:val="20"/>
                      <w:lang w:val="es-CO" w:eastAsia="es-SV"/>
                    </w:rPr>
                    <w:t> </w:t>
                  </w:r>
                </w:p>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b/>
                      <w:bCs/>
                      <w:color w:val="008000"/>
                      <w:sz w:val="24"/>
                      <w:szCs w:val="24"/>
                      <w:lang w:val="es-CO" w:eastAsia="es-SV"/>
                    </w:rPr>
                    <w:t>El auditor deberá obtener evidencia suficiente apropiada de auditoría para poder extraer conclusiones razonables sobre las cuales basar la opinión de auditoría.</w:t>
                  </w:r>
                </w:p>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sz w:val="24"/>
                      <w:szCs w:val="24"/>
                      <w:lang w:val="es-CO" w:eastAsia="es-SV"/>
                    </w:rPr>
                    <w:t>La evidencia de auditoría se obtiene de una mezcla apropiada de pruebas de control y de procedimientos sustantivos. En algunas circunstancias, la evidencia puede ser obtenida completamente de los procedimientos sustantivos.</w:t>
                  </w:r>
                </w:p>
                <w:p w:rsidR="007750D7" w:rsidRPr="007750D7" w:rsidRDefault="007750D7" w:rsidP="007750D7">
                  <w:pPr>
                    <w:spacing w:after="0" w:line="240" w:lineRule="auto"/>
                    <w:rPr>
                      <w:rFonts w:ascii="Times New Roman" w:eastAsia="Times New Roman" w:hAnsi="Times New Roman" w:cs="Times New Roman"/>
                      <w:sz w:val="20"/>
                      <w:szCs w:val="20"/>
                      <w:lang w:val="es-SV" w:eastAsia="es-SV"/>
                    </w:rPr>
                  </w:pPr>
                  <w:r w:rsidRPr="007750D7">
                    <w:rPr>
                      <w:rFonts w:ascii="Verdana" w:eastAsia="Times New Roman" w:hAnsi="Verdana" w:cs="Times New Roman"/>
                      <w:sz w:val="20"/>
                      <w:szCs w:val="20"/>
                      <w:lang w:val="es-CO" w:eastAsia="es-SV"/>
                    </w:rPr>
                    <w:t> </w:t>
                  </w:r>
                </w:p>
                <w:p w:rsidR="007750D7" w:rsidRPr="007750D7" w:rsidRDefault="007750D7" w:rsidP="007750D7">
                  <w:pPr>
                    <w:spacing w:after="0" w:line="240" w:lineRule="auto"/>
                    <w:rPr>
                      <w:rFonts w:ascii="Times New Roman" w:eastAsia="Times New Roman" w:hAnsi="Times New Roman" w:cs="Times New Roman"/>
                      <w:sz w:val="20"/>
                      <w:szCs w:val="20"/>
                      <w:lang w:val="es-SV" w:eastAsia="es-SV"/>
                    </w:rPr>
                  </w:pPr>
                  <w:r w:rsidRPr="007750D7">
                    <w:rPr>
                      <w:rFonts w:ascii="Verdana" w:eastAsia="Times New Roman" w:hAnsi="Verdana" w:cs="Times New Roman"/>
                      <w:color w:val="008000"/>
                      <w:sz w:val="20"/>
                      <w:szCs w:val="20"/>
                      <w:lang w:val="es-CO" w:eastAsia="es-SV"/>
                    </w:rPr>
                    <w:t>“Pruebas de control”</w:t>
                  </w:r>
                  <w:r w:rsidRPr="007750D7">
                    <w:rPr>
                      <w:rFonts w:ascii="Verdana" w:eastAsia="Times New Roman" w:hAnsi="Verdana" w:cs="Times New Roman"/>
                      <w:color w:val="008000"/>
                      <w:sz w:val="20"/>
                      <w:lang w:val="es-CO" w:eastAsia="es-SV"/>
                    </w:rPr>
                    <w:t> </w:t>
                  </w:r>
                  <w:r w:rsidRPr="007750D7">
                    <w:rPr>
                      <w:rFonts w:ascii="Verdana" w:eastAsia="Times New Roman" w:hAnsi="Verdana" w:cs="Times New Roman"/>
                      <w:sz w:val="20"/>
                      <w:szCs w:val="20"/>
                      <w:lang w:val="es-CO" w:eastAsia="es-SV"/>
                    </w:rPr>
                    <w:t>significan pruebas realizadas para obtener evidencia de auditoría sobre la adecuación del diseño y operación efectiva de los sistemas de contabilidad y de control interno.</w:t>
                  </w:r>
                </w:p>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sz w:val="24"/>
                      <w:szCs w:val="24"/>
                      <w:lang w:val="es-CO" w:eastAsia="es-SV"/>
                    </w:rPr>
                    <w:t> </w:t>
                  </w:r>
                </w:p>
              </w:tc>
            </w:tr>
          </w:tbl>
          <w:p w:rsidR="007750D7" w:rsidRPr="007750D7" w:rsidRDefault="007750D7" w:rsidP="007750D7">
            <w:pPr>
              <w:spacing w:after="0" w:line="240" w:lineRule="auto"/>
              <w:rPr>
                <w:rFonts w:ascii="Times New Roman" w:eastAsia="Times New Roman" w:hAnsi="Times New Roman" w:cs="Times New Roman"/>
                <w:sz w:val="24"/>
                <w:szCs w:val="24"/>
                <w:lang w:val="es-SV" w:eastAsia="es-SV"/>
              </w:rPr>
            </w:pPr>
          </w:p>
        </w:tc>
      </w:tr>
    </w:tbl>
    <w:p w:rsidR="007750D7" w:rsidRDefault="007750D7" w:rsidP="007750D7">
      <w:pPr>
        <w:pStyle w:val="Sangra2detindependiente"/>
        <w:spacing w:after="0"/>
        <w:rPr>
          <w:color w:val="000000"/>
          <w:sz w:val="20"/>
          <w:szCs w:val="20"/>
        </w:rPr>
      </w:pPr>
      <w:r>
        <w:rPr>
          <w:rFonts w:ascii="Verdana" w:hAnsi="Verdana"/>
          <w:color w:val="008000"/>
          <w:sz w:val="20"/>
          <w:szCs w:val="20"/>
          <w:lang w:val="es-CO"/>
        </w:rPr>
        <w:t>“Procedimientos sustantivos”</w:t>
      </w:r>
      <w:r>
        <w:rPr>
          <w:rStyle w:val="apple-converted-space"/>
          <w:rFonts w:ascii="Verdana" w:hAnsi="Verdana"/>
          <w:color w:val="000000"/>
          <w:sz w:val="20"/>
          <w:szCs w:val="20"/>
          <w:lang w:val="es-CO"/>
        </w:rPr>
        <w:t> </w:t>
      </w:r>
      <w:r>
        <w:rPr>
          <w:rFonts w:ascii="Verdana" w:hAnsi="Verdana"/>
          <w:color w:val="000000"/>
          <w:sz w:val="20"/>
          <w:szCs w:val="20"/>
          <w:lang w:val="es-CO"/>
        </w:rPr>
        <w:t>significa pruebas realizadas para obtener evidencia de auditoría para detectar representaciones erróneas de importancia  en los estados financieros, y son de dos tipos:</w:t>
      </w:r>
    </w:p>
    <w:p w:rsidR="007750D7" w:rsidRDefault="007750D7" w:rsidP="007750D7">
      <w:pPr>
        <w:jc w:val="both"/>
        <w:rPr>
          <w:color w:val="000000"/>
          <w:sz w:val="24"/>
          <w:szCs w:val="24"/>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(a)</w:t>
      </w:r>
      <w:r>
        <w:rPr>
          <w:color w:val="000000"/>
          <w:sz w:val="14"/>
          <w:szCs w:val="14"/>
          <w:lang w:val="es-CO"/>
        </w:rPr>
        <w:t>             </w:t>
      </w:r>
      <w:r>
        <w:rPr>
          <w:rStyle w:val="apple-converted-space"/>
          <w:color w:val="000000"/>
          <w:sz w:val="14"/>
          <w:szCs w:val="14"/>
          <w:lang w:val="es-CO"/>
        </w:rPr>
        <w:t> </w:t>
      </w:r>
      <w:r>
        <w:rPr>
          <w:rFonts w:ascii="Verdana" w:hAnsi="Verdana"/>
          <w:color w:val="000000"/>
          <w:lang w:val="es-CO"/>
        </w:rPr>
        <w:t> Pruebas de detalles de transacciones y balances; y</w:t>
      </w:r>
    </w:p>
    <w:p w:rsidR="007750D7" w:rsidRDefault="007750D7" w:rsidP="007750D7">
      <w:pPr>
        <w:jc w:val="both"/>
        <w:rPr>
          <w:color w:val="000000"/>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(b)       Procedimientos analíticos</w:t>
      </w:r>
    </w:p>
    <w:p w:rsidR="007750D7" w:rsidRDefault="007750D7" w:rsidP="007750D7">
      <w:pPr>
        <w:jc w:val="both"/>
        <w:rPr>
          <w:color w:val="000000"/>
        </w:rPr>
      </w:pPr>
      <w:r>
        <w:rPr>
          <w:color w:val="000000"/>
        </w:rPr>
        <w:t> </w:t>
      </w:r>
    </w:p>
    <w:p w:rsidR="007750D7" w:rsidRDefault="007750D7" w:rsidP="007750D7">
      <w:pPr>
        <w:pStyle w:val="Ttulo2"/>
        <w:keepNext/>
        <w:spacing w:before="0" w:beforeAutospacing="0" w:after="0" w:afterAutospacing="0" w:line="240" w:lineRule="atLeast"/>
        <w:jc w:val="both"/>
        <w:rPr>
          <w:rFonts w:ascii="GothicPS" w:hAnsi="GothicPS"/>
          <w:color w:val="000000"/>
          <w:sz w:val="24"/>
          <w:szCs w:val="24"/>
        </w:rPr>
      </w:pPr>
      <w:r>
        <w:rPr>
          <w:rFonts w:ascii="Verdana" w:hAnsi="Verdana"/>
          <w:color w:val="008000"/>
          <w:sz w:val="20"/>
          <w:szCs w:val="20"/>
          <w:lang w:val="es-CO"/>
        </w:rPr>
        <w:t>Evidencia suficiente apropiada de auditoría</w:t>
      </w:r>
    </w:p>
    <w:p w:rsidR="007750D7" w:rsidRDefault="007750D7" w:rsidP="007750D7">
      <w:pPr>
        <w:jc w:val="both"/>
        <w:rPr>
          <w:rFonts w:ascii="Times New Roman" w:hAnsi="Times New Roman"/>
          <w:color w:val="000000"/>
          <w:sz w:val="24"/>
          <w:szCs w:val="24"/>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 xml:space="preserve">La suficiencia y la propiedad están interrelacionadas y aplican a la evidencia de auditoría obtenida tanto de las pruebas de control como de los procedimientos </w:t>
      </w:r>
      <w:r>
        <w:rPr>
          <w:rFonts w:ascii="Verdana" w:hAnsi="Verdana"/>
          <w:color w:val="000000"/>
          <w:lang w:val="es-CO"/>
        </w:rPr>
        <w:lastRenderedPageBreak/>
        <w:t>sustantivos. La suficiencia es la medida de la cantidad de evidencia de auditoría; la propiedad es la medida de la calidad de evidencia de auditoría y su relevancia para una particular aseveración y su confiabilidad. Ordinariamente, el auditor encuentra necesario confiar en evidencia de auditoría que es persuasiva y no concluyente y a menudo buscará evidencia de auditoría de diferentes fuentes o de una naturaleza diferente para soportar la misma aseveración.</w:t>
      </w:r>
    </w:p>
    <w:p w:rsidR="007750D7" w:rsidRDefault="007750D7" w:rsidP="007750D7">
      <w:pPr>
        <w:jc w:val="both"/>
        <w:rPr>
          <w:color w:val="000000"/>
        </w:rPr>
      </w:pPr>
      <w:r>
        <w:rPr>
          <w:rFonts w:ascii="Verdana" w:hAnsi="Verdana"/>
          <w:color w:val="000000"/>
          <w:lang w:val="es-CO"/>
        </w:rPr>
        <w:t> </w:t>
      </w:r>
    </w:p>
    <w:p w:rsidR="007750D7" w:rsidRDefault="007750D7" w:rsidP="007750D7">
      <w:pPr>
        <w:pStyle w:val="Sangra3detindependiente"/>
        <w:spacing w:after="0"/>
        <w:rPr>
          <w:color w:val="000000"/>
          <w:sz w:val="20"/>
          <w:szCs w:val="20"/>
        </w:rPr>
      </w:pPr>
      <w:r>
        <w:rPr>
          <w:rFonts w:ascii="Verdana" w:hAnsi="Verdana"/>
          <w:color w:val="000000"/>
          <w:sz w:val="20"/>
          <w:szCs w:val="20"/>
          <w:lang w:val="es-CO"/>
        </w:rPr>
        <w:t>Para formar la opinión de auditoría, el auditor ordinariamente no examina toda la información disponible porque se puede llegar a conclusiones sobre un saldo de una cuenta, clase de transacciones o control por medio del ejercicio de su juicio o de muestreo estadístico.</w:t>
      </w:r>
    </w:p>
    <w:p w:rsidR="007750D7" w:rsidRDefault="007750D7" w:rsidP="007750D7">
      <w:pPr>
        <w:jc w:val="both"/>
        <w:rPr>
          <w:color w:val="000000"/>
          <w:sz w:val="24"/>
          <w:szCs w:val="24"/>
        </w:rPr>
      </w:pPr>
      <w:r>
        <w:rPr>
          <w:rFonts w:ascii="Verdana" w:hAnsi="Verdana"/>
          <w:color w:val="000000"/>
          <w:lang w:val="es-CO"/>
        </w:rPr>
        <w:t> </w:t>
      </w:r>
    </w:p>
    <w:p w:rsidR="007750D7" w:rsidRDefault="007750D7" w:rsidP="007750D7">
      <w:pPr>
        <w:jc w:val="both"/>
        <w:rPr>
          <w:color w:val="000000"/>
        </w:rPr>
      </w:pPr>
      <w:r>
        <w:rPr>
          <w:rFonts w:ascii="Verdana" w:hAnsi="Verdana"/>
          <w:b/>
          <w:bCs/>
          <w:color w:val="008000"/>
          <w:lang w:val="es-CO"/>
        </w:rPr>
        <w:t>Al obtener la evidencia de auditoría de las pruebas de control, el auditor debería considerar la suficiencia y propiedad de la evidencia de auditoría para soportar el nivel evaluado de riesgo de control.</w:t>
      </w:r>
    </w:p>
    <w:p w:rsidR="007750D7" w:rsidRDefault="007750D7" w:rsidP="007750D7">
      <w:pPr>
        <w:jc w:val="both"/>
        <w:rPr>
          <w:color w:val="000000"/>
        </w:rPr>
      </w:pPr>
      <w:r>
        <w:rPr>
          <w:rFonts w:ascii="Verdana" w:hAnsi="Verdana"/>
          <w:color w:val="000000"/>
          <w:lang w:val="es-CO"/>
        </w:rPr>
        <w:t> </w:t>
      </w:r>
    </w:p>
    <w:p w:rsidR="007750D7" w:rsidRDefault="007750D7" w:rsidP="007750D7">
      <w:pPr>
        <w:pStyle w:val="Textoindependiente2"/>
        <w:spacing w:after="0"/>
        <w:rPr>
          <w:color w:val="000000"/>
          <w:sz w:val="20"/>
          <w:szCs w:val="20"/>
        </w:rPr>
      </w:pPr>
      <w:r>
        <w:rPr>
          <w:rFonts w:ascii="Verdana" w:hAnsi="Verdana"/>
          <w:color w:val="000000"/>
          <w:sz w:val="20"/>
          <w:szCs w:val="20"/>
          <w:lang w:val="es-CO"/>
        </w:rPr>
        <w:t>Los aspectos de los sistemas de contabilidad y de control interno sobre los que el auditor debería obtener evidencia son:</w:t>
      </w:r>
    </w:p>
    <w:p w:rsidR="007750D7" w:rsidRDefault="007750D7" w:rsidP="007750D7">
      <w:pPr>
        <w:jc w:val="both"/>
        <w:rPr>
          <w:color w:val="000000"/>
          <w:sz w:val="24"/>
          <w:szCs w:val="24"/>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(a)    </w:t>
      </w:r>
      <w:r>
        <w:rPr>
          <w:rStyle w:val="apple-converted-space"/>
          <w:rFonts w:ascii="Verdana" w:hAnsi="Verdana"/>
          <w:color w:val="000000"/>
          <w:lang w:val="es-CO"/>
        </w:rPr>
        <w:t> </w:t>
      </w:r>
      <w:r>
        <w:rPr>
          <w:rFonts w:ascii="Verdana" w:hAnsi="Verdana"/>
          <w:i/>
          <w:iCs/>
          <w:color w:val="000000"/>
          <w:lang w:val="es-CO"/>
        </w:rPr>
        <w:t>diseño</w:t>
      </w:r>
      <w:r>
        <w:rPr>
          <w:rFonts w:ascii="Verdana" w:hAnsi="Verdana"/>
          <w:color w:val="000000"/>
          <w:lang w:val="es-CO"/>
        </w:rPr>
        <w:t>: los sistemas de contabilidad y de control interno están diseñados adecuadamente para prevenir y/o detectar y corregir representaciones erróneas de importancia; y</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(b)     </w:t>
      </w:r>
      <w:r w:rsidRPr="007750D7">
        <w:rPr>
          <w:rFonts w:ascii="Verdana" w:eastAsia="Times New Roman" w:hAnsi="Verdana" w:cs="Times New Roman"/>
          <w:i/>
          <w:iCs/>
          <w:color w:val="000000"/>
          <w:sz w:val="24"/>
          <w:szCs w:val="24"/>
          <w:lang w:val="es-CO" w:eastAsia="es-SV"/>
        </w:rPr>
        <w:t>operación</w:t>
      </w:r>
      <w:r w:rsidRPr="007750D7">
        <w:rPr>
          <w:rFonts w:ascii="Verdana" w:eastAsia="Times New Roman" w:hAnsi="Verdana" w:cs="Times New Roman"/>
          <w:color w:val="000000"/>
          <w:sz w:val="24"/>
          <w:szCs w:val="24"/>
          <w:lang w:val="es-CO" w:eastAsia="es-SV"/>
        </w:rPr>
        <w:t>: los sistemas existen y han operado en forma efectiva a lo largo del período respectivo.</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b/>
          <w:bCs/>
          <w:color w:val="008000"/>
          <w:sz w:val="24"/>
          <w:szCs w:val="24"/>
          <w:lang w:val="es-CO" w:eastAsia="es-SV"/>
        </w:rPr>
        <w:t>Al obtener evidencia de auditoría de los procedimientos sustantivos, el auditor debería considerar la suficiencia y propiedad de la evidencia de auditoría de dichos procedimientos junto con cualquiera evidencia de pruebas de control para soportar las aseveraciones de los estados financieros.</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Las aseveraciones de los estados financieros son aseveraciones de la administración, explícitas o de otro tipo, que están incorporadas en los estados financieros. Pueden categorizarse como sigue:</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(a)</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existencia</w:t>
      </w:r>
      <w:r w:rsidRPr="007750D7">
        <w:rPr>
          <w:rFonts w:ascii="Verdana" w:eastAsia="Times New Roman" w:hAnsi="Verdana" w:cs="Times New Roman"/>
          <w:color w:val="000000"/>
          <w:sz w:val="24"/>
          <w:szCs w:val="24"/>
          <w:lang w:val="es-CO" w:eastAsia="es-SV"/>
        </w:rPr>
        <w:t>: un activo o pasivo existe en una fecha dada;</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lastRenderedPageBreak/>
        <w:t>(b)</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derechos y obligaciones</w:t>
      </w:r>
      <w:r w:rsidRPr="007750D7">
        <w:rPr>
          <w:rFonts w:ascii="Verdana" w:eastAsia="Times New Roman" w:hAnsi="Verdana" w:cs="Times New Roman"/>
          <w:color w:val="000000"/>
          <w:sz w:val="24"/>
          <w:szCs w:val="24"/>
          <w:lang w:val="es-CO" w:eastAsia="es-SV"/>
        </w:rPr>
        <w:t>: un activo o pasivo pertenece a la entidad en una fecha dada;</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(c)</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ocurrencia</w:t>
      </w:r>
      <w:r w:rsidRPr="007750D7">
        <w:rPr>
          <w:rFonts w:ascii="Verdana" w:eastAsia="Times New Roman" w:hAnsi="Verdana" w:cs="Times New Roman"/>
          <w:color w:val="000000"/>
          <w:sz w:val="24"/>
          <w:szCs w:val="24"/>
          <w:lang w:val="es-CO" w:eastAsia="es-SV"/>
        </w:rPr>
        <w:t>: una transacción o evento tuvo lugar, la cual pertenece a la entidad durante el período.,</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(d)</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integridad:</w:t>
      </w:r>
      <w:r w:rsidRPr="007750D7">
        <w:rPr>
          <w:rFonts w:ascii="Verdana" w:eastAsia="Times New Roman" w:hAnsi="Verdana" w:cs="Times New Roman"/>
          <w:color w:val="000000"/>
          <w:sz w:val="24"/>
          <w:szCs w:val="24"/>
          <w:lang w:val="es-CO" w:eastAsia="es-SV"/>
        </w:rPr>
        <w:t> no hay activos, pasivos, transacciones o eventos sin registrar, ni partidas sin revelar;</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(e)</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valuación</w:t>
      </w:r>
      <w:r w:rsidRPr="007750D7">
        <w:rPr>
          <w:rFonts w:ascii="Verdana" w:eastAsia="Times New Roman" w:hAnsi="Verdana" w:cs="Times New Roman"/>
          <w:color w:val="000000"/>
          <w:sz w:val="24"/>
          <w:szCs w:val="24"/>
          <w:lang w:val="es-CO" w:eastAsia="es-SV"/>
        </w:rPr>
        <w:t>: un activo o pasivo es registrado a un valor apropiado en libros;</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(f)</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medición</w:t>
      </w:r>
      <w:r w:rsidRPr="007750D7">
        <w:rPr>
          <w:rFonts w:ascii="Verdana" w:eastAsia="Times New Roman" w:hAnsi="Verdana" w:cs="Times New Roman"/>
          <w:color w:val="000000"/>
          <w:sz w:val="24"/>
          <w:szCs w:val="24"/>
          <w:lang w:val="es-CO" w:eastAsia="es-SV"/>
        </w:rPr>
        <w:t>: una transacción o evento es registrado por su monto apropiado y el ingreso o gasto se asigna al periodo apropiado; y</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 </w:t>
      </w:r>
    </w:p>
    <w:p w:rsidR="007750D7" w:rsidRPr="007750D7" w:rsidRDefault="007750D7" w:rsidP="007750D7">
      <w:pPr>
        <w:spacing w:after="0" w:line="240" w:lineRule="auto"/>
        <w:jc w:val="both"/>
        <w:rPr>
          <w:rFonts w:ascii="Times New Roman" w:eastAsia="Times New Roman" w:hAnsi="Times New Roman" w:cs="Times New Roman"/>
          <w:color w:val="000000"/>
          <w:sz w:val="24"/>
          <w:szCs w:val="24"/>
          <w:lang w:val="es-SV" w:eastAsia="es-SV"/>
        </w:rPr>
      </w:pPr>
      <w:r w:rsidRPr="007750D7">
        <w:rPr>
          <w:rFonts w:ascii="Verdana" w:eastAsia="Times New Roman" w:hAnsi="Verdana" w:cs="Times New Roman"/>
          <w:color w:val="000000"/>
          <w:sz w:val="24"/>
          <w:szCs w:val="24"/>
          <w:lang w:val="es-CO" w:eastAsia="es-SV"/>
        </w:rPr>
        <w:t>(g)</w:t>
      </w:r>
      <w:r w:rsidRPr="007750D7">
        <w:rPr>
          <w:rFonts w:ascii="Times New Roman" w:eastAsia="Times New Roman" w:hAnsi="Times New Roman" w:cs="Times New Roman"/>
          <w:color w:val="000000"/>
          <w:sz w:val="14"/>
          <w:szCs w:val="14"/>
          <w:lang w:val="es-CO" w:eastAsia="es-SV"/>
        </w:rPr>
        <w:t> </w:t>
      </w:r>
      <w:r w:rsidRPr="007750D7">
        <w:rPr>
          <w:rFonts w:ascii="Times New Roman" w:eastAsia="Times New Roman" w:hAnsi="Times New Roman" w:cs="Times New Roman"/>
          <w:color w:val="000000"/>
          <w:sz w:val="14"/>
          <w:lang w:val="es-CO" w:eastAsia="es-SV"/>
        </w:rPr>
        <w:t> </w:t>
      </w:r>
      <w:r w:rsidRPr="007750D7">
        <w:rPr>
          <w:rFonts w:ascii="Verdana" w:eastAsia="Times New Roman" w:hAnsi="Verdana" w:cs="Times New Roman"/>
          <w:i/>
          <w:iCs/>
          <w:color w:val="000000"/>
          <w:sz w:val="24"/>
          <w:szCs w:val="24"/>
          <w:lang w:val="es-CO" w:eastAsia="es-SV"/>
        </w:rPr>
        <w:t>presentación y revelación</w:t>
      </w:r>
      <w:r w:rsidRPr="007750D7">
        <w:rPr>
          <w:rFonts w:ascii="Verdana" w:eastAsia="Times New Roman" w:hAnsi="Verdana" w:cs="Times New Roman"/>
          <w:color w:val="000000"/>
          <w:sz w:val="24"/>
          <w:szCs w:val="24"/>
          <w:lang w:val="es-CO" w:eastAsia="es-SV"/>
        </w:rPr>
        <w:t>: una partida se revela, se clasifica y describe de acuerdo con el marco de referencia aplicable para informes financieros.</w:t>
      </w:r>
    </w:p>
    <w:p w:rsidR="007750D7" w:rsidRDefault="007750D7" w:rsidP="007750D7">
      <w:pPr>
        <w:pStyle w:val="Textoindependiente"/>
        <w:spacing w:before="0" w:beforeAutospacing="0" w:after="0" w:afterAutospacing="0"/>
        <w:rPr>
          <w:color w:val="000000"/>
          <w:sz w:val="20"/>
          <w:szCs w:val="20"/>
        </w:rPr>
      </w:pPr>
      <w:r>
        <w:rPr>
          <w:rFonts w:ascii="Verdana" w:hAnsi="Verdana"/>
          <w:color w:val="000000"/>
          <w:sz w:val="20"/>
          <w:szCs w:val="20"/>
          <w:lang w:val="es-CO"/>
        </w:rPr>
        <w:t>La evidencia de auditoría es más persuasiva cuando las partidas de evidencia de diferentes fuentes o de una diferente naturaleza son consistentes. En estas circunstancias, el auditor puede obtener un grado acumulativo de confianza más alto del que se obtendría de partidas de evidencia de auditoría cuando se consideran individualmente. Por el contrario, cuando la evidencia de auditoría obtenida de una fuente es inconsistente con la obtenida de otra, el auditor determina que procedimientos adicionales son necesarios para resolver la inconsistencia.</w:t>
      </w:r>
    </w:p>
    <w:p w:rsidR="007750D7" w:rsidRDefault="007750D7" w:rsidP="007750D7">
      <w:pPr>
        <w:jc w:val="both"/>
        <w:rPr>
          <w:color w:val="000000"/>
          <w:sz w:val="24"/>
          <w:szCs w:val="24"/>
        </w:rPr>
      </w:pPr>
      <w:r>
        <w:rPr>
          <w:rFonts w:ascii="Verdana" w:hAnsi="Verdana"/>
          <w:color w:val="008000"/>
          <w:lang w:val="es-CO"/>
        </w:rPr>
        <w:t> </w:t>
      </w:r>
    </w:p>
    <w:p w:rsidR="007750D7" w:rsidRDefault="007750D7" w:rsidP="007750D7">
      <w:pPr>
        <w:pStyle w:val="Ttulo7"/>
        <w:spacing w:before="0"/>
        <w:rPr>
          <w:color w:val="000000"/>
          <w:sz w:val="20"/>
          <w:szCs w:val="20"/>
        </w:rPr>
      </w:pPr>
      <w:r>
        <w:rPr>
          <w:rFonts w:ascii="Verdana" w:hAnsi="Verdana"/>
          <w:color w:val="008000"/>
          <w:sz w:val="20"/>
          <w:szCs w:val="20"/>
          <w:lang w:val="es-CO"/>
        </w:rPr>
        <w:t>Procedimientos para obtener evidencia de auditoría</w:t>
      </w:r>
    </w:p>
    <w:p w:rsidR="007750D7" w:rsidRDefault="007750D7" w:rsidP="007750D7">
      <w:pPr>
        <w:jc w:val="both"/>
        <w:rPr>
          <w:color w:val="000000"/>
          <w:sz w:val="24"/>
          <w:szCs w:val="24"/>
        </w:rPr>
      </w:pPr>
      <w:r>
        <w:rPr>
          <w:rFonts w:ascii="Verdana" w:hAnsi="Verdana"/>
          <w:color w:val="008000"/>
          <w:lang w:val="es-CO"/>
        </w:rPr>
        <w:t> </w:t>
      </w:r>
    </w:p>
    <w:p w:rsidR="007750D7" w:rsidRDefault="007750D7" w:rsidP="007750D7">
      <w:pPr>
        <w:jc w:val="both"/>
        <w:rPr>
          <w:color w:val="000000"/>
        </w:rPr>
      </w:pPr>
      <w:r>
        <w:rPr>
          <w:rFonts w:ascii="Verdana" w:hAnsi="Verdana"/>
          <w:color w:val="000000"/>
          <w:lang w:val="es-CO"/>
        </w:rPr>
        <w:t>El auditor obtiene evidencia de auditoría por uno o más de los siguientes procedimientos: inspección, observación, investigación y confirmación, procedimientos de cómputo y analíticos. La oportunidad de dichos procedimientos dependerá, en parte, de los períodos de tiempo durante los que la evidencia de auditoría buscada esté disponible.</w:t>
      </w:r>
    </w:p>
    <w:p w:rsidR="007750D7" w:rsidRDefault="007750D7" w:rsidP="007750D7">
      <w:pPr>
        <w:jc w:val="both"/>
        <w:rPr>
          <w:color w:val="000000"/>
        </w:rPr>
      </w:pPr>
      <w:r>
        <w:rPr>
          <w:rFonts w:ascii="Verdana" w:hAnsi="Verdana"/>
          <w:color w:val="008000"/>
          <w:lang w:val="es-CO"/>
        </w:rPr>
        <w:t> </w:t>
      </w:r>
    </w:p>
    <w:p w:rsidR="007750D7" w:rsidRDefault="007750D7" w:rsidP="007750D7">
      <w:pPr>
        <w:jc w:val="both"/>
        <w:rPr>
          <w:color w:val="000000"/>
        </w:rPr>
      </w:pPr>
      <w:r>
        <w:rPr>
          <w:rFonts w:ascii="Verdana" w:hAnsi="Verdana"/>
          <w:i/>
          <w:iCs/>
          <w:color w:val="008000"/>
          <w:lang w:val="es-CO"/>
        </w:rPr>
        <w:t>Inspección</w:t>
      </w:r>
    </w:p>
    <w:p w:rsidR="007750D7" w:rsidRDefault="007750D7" w:rsidP="007750D7">
      <w:pPr>
        <w:jc w:val="both"/>
        <w:rPr>
          <w:color w:val="000000"/>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 xml:space="preserve">La inspección consiste en examinar registros, documentos, o activos tangibles. La inspección de registros y documentos proporciona evidencia de auditoría de grados variables de confiabilidad dependiendo de su naturaleza y fuente y de la efectividad de los controles internos sobre su procesamiento. Tres categorías </w:t>
      </w:r>
      <w:r>
        <w:rPr>
          <w:rFonts w:ascii="Verdana" w:hAnsi="Verdana"/>
          <w:color w:val="000000"/>
          <w:lang w:val="es-CO"/>
        </w:rPr>
        <w:lastRenderedPageBreak/>
        <w:t>importantes de evidencia de auditoría documentaria, que proporcionan diferentes grados de confiabilidad, son:</w:t>
      </w:r>
    </w:p>
    <w:p w:rsidR="007750D7" w:rsidRDefault="007750D7" w:rsidP="007750D7">
      <w:pPr>
        <w:jc w:val="both"/>
        <w:rPr>
          <w:color w:val="000000"/>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(a)</w:t>
      </w:r>
      <w:r>
        <w:rPr>
          <w:color w:val="000000"/>
          <w:sz w:val="14"/>
          <w:szCs w:val="14"/>
          <w:lang w:val="es-CO"/>
        </w:rPr>
        <w:t>             </w:t>
      </w:r>
      <w:r>
        <w:rPr>
          <w:rStyle w:val="apple-converted-space"/>
          <w:color w:val="000000"/>
          <w:sz w:val="14"/>
          <w:szCs w:val="14"/>
          <w:lang w:val="es-CO"/>
        </w:rPr>
        <w:t> </w:t>
      </w:r>
      <w:r>
        <w:rPr>
          <w:rFonts w:ascii="Verdana" w:hAnsi="Verdana"/>
          <w:color w:val="000000"/>
          <w:lang w:val="es-CO"/>
        </w:rPr>
        <w:t>evidencia de auditoría documentaria creada y retenida por terceros;</w:t>
      </w:r>
    </w:p>
    <w:p w:rsidR="007750D7" w:rsidRDefault="007750D7" w:rsidP="007750D7">
      <w:pPr>
        <w:jc w:val="both"/>
        <w:rPr>
          <w:color w:val="000000"/>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(b)</w:t>
      </w:r>
      <w:r>
        <w:rPr>
          <w:color w:val="000000"/>
          <w:sz w:val="14"/>
          <w:szCs w:val="14"/>
          <w:lang w:val="es-CO"/>
        </w:rPr>
        <w:t>             </w:t>
      </w:r>
      <w:r>
        <w:rPr>
          <w:rStyle w:val="apple-converted-space"/>
          <w:color w:val="000000"/>
          <w:sz w:val="14"/>
          <w:szCs w:val="14"/>
          <w:lang w:val="es-CO"/>
        </w:rPr>
        <w:t> </w:t>
      </w:r>
      <w:r>
        <w:rPr>
          <w:rFonts w:ascii="Verdana" w:hAnsi="Verdana"/>
          <w:color w:val="000000"/>
          <w:lang w:val="es-CO"/>
        </w:rPr>
        <w:t>evidencia de auditoría documentaria creada por terceros y retenida por la entidad; y</w:t>
      </w:r>
    </w:p>
    <w:p w:rsidR="007750D7" w:rsidRDefault="007750D7" w:rsidP="007750D7">
      <w:pPr>
        <w:jc w:val="both"/>
        <w:rPr>
          <w:color w:val="000000"/>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(c)</w:t>
      </w:r>
      <w:r>
        <w:rPr>
          <w:color w:val="000000"/>
          <w:sz w:val="14"/>
          <w:szCs w:val="14"/>
          <w:lang w:val="es-CO"/>
        </w:rPr>
        <w:t>          </w:t>
      </w:r>
      <w:r>
        <w:rPr>
          <w:rStyle w:val="apple-converted-space"/>
          <w:color w:val="000000"/>
          <w:sz w:val="14"/>
          <w:szCs w:val="14"/>
          <w:lang w:val="es-CO"/>
        </w:rPr>
        <w:t> </w:t>
      </w:r>
      <w:r>
        <w:rPr>
          <w:rFonts w:ascii="Verdana" w:hAnsi="Verdana"/>
          <w:color w:val="000000"/>
          <w:lang w:val="es-CO"/>
        </w:rPr>
        <w:t>evidencia de auditoría documentaria creada y retenida por la entidad.</w:t>
      </w:r>
    </w:p>
    <w:p w:rsidR="007750D7" w:rsidRDefault="007750D7" w:rsidP="007750D7">
      <w:pPr>
        <w:jc w:val="both"/>
        <w:rPr>
          <w:color w:val="000000"/>
        </w:rPr>
      </w:pPr>
      <w:r>
        <w:rPr>
          <w:rFonts w:ascii="Verdana" w:hAnsi="Verdana"/>
          <w:color w:val="000000"/>
          <w:lang w:val="es-CO"/>
        </w:rPr>
        <w:t> </w:t>
      </w:r>
    </w:p>
    <w:p w:rsidR="007750D7" w:rsidRDefault="007750D7" w:rsidP="007750D7">
      <w:pPr>
        <w:jc w:val="both"/>
        <w:rPr>
          <w:color w:val="000000"/>
        </w:rPr>
      </w:pPr>
      <w:r>
        <w:rPr>
          <w:rFonts w:ascii="Verdana" w:hAnsi="Verdana"/>
          <w:color w:val="000000"/>
          <w:lang w:val="es-CO"/>
        </w:rPr>
        <w:t>La inspección de activos tangibles proporciona evidencia de auditoría contable con respecto a su existencia pero no necesariamente a su propiedad o valor.</w:t>
      </w:r>
    </w:p>
    <w:p w:rsidR="007750D7" w:rsidRDefault="007750D7" w:rsidP="007750D7">
      <w:pPr>
        <w:jc w:val="both"/>
        <w:rPr>
          <w:color w:val="000000"/>
        </w:rPr>
      </w:pPr>
      <w:r>
        <w:rPr>
          <w:rFonts w:ascii="Verdana" w:hAnsi="Verdana"/>
          <w:i/>
          <w:iCs/>
          <w:color w:val="008000"/>
          <w:lang w:val="es-CO"/>
        </w:rPr>
        <w:t>Observación</w:t>
      </w:r>
    </w:p>
    <w:p w:rsidR="007750D7" w:rsidRDefault="007750D7" w:rsidP="007750D7">
      <w:pPr>
        <w:jc w:val="both"/>
        <w:rPr>
          <w:color w:val="000000"/>
        </w:rPr>
      </w:pPr>
      <w:r>
        <w:rPr>
          <w:rFonts w:ascii="Verdana" w:hAnsi="Verdana"/>
          <w:color w:val="000000"/>
          <w:lang w:val="es-CO"/>
        </w:rPr>
        <w:t> </w:t>
      </w:r>
    </w:p>
    <w:p w:rsidR="007750D7" w:rsidRDefault="007750D7" w:rsidP="007750D7">
      <w:pPr>
        <w:pStyle w:val="Textoindependiente2"/>
        <w:spacing w:after="0"/>
        <w:rPr>
          <w:color w:val="000000"/>
          <w:sz w:val="20"/>
          <w:szCs w:val="20"/>
        </w:rPr>
      </w:pPr>
      <w:r>
        <w:rPr>
          <w:rFonts w:ascii="Verdana" w:hAnsi="Verdana"/>
          <w:color w:val="000000"/>
          <w:sz w:val="20"/>
          <w:szCs w:val="20"/>
          <w:lang w:val="es-CO"/>
        </w:rPr>
        <w:t>La observación consiste en mirar un proceso o procedimiento desempeñado por otros, por ejemplo, la observación por el auditor del conteo de inventarios por personal de la entidad o el desarrollo de procedimientos de control que no dejan rastro de auditoría.</w:t>
      </w:r>
    </w:p>
    <w:p w:rsidR="007750D7" w:rsidRDefault="007750D7" w:rsidP="007750D7">
      <w:pPr>
        <w:jc w:val="both"/>
        <w:rPr>
          <w:color w:val="000000"/>
          <w:sz w:val="24"/>
          <w:szCs w:val="24"/>
        </w:rPr>
      </w:pPr>
      <w:r>
        <w:rPr>
          <w:rFonts w:ascii="Verdana" w:hAnsi="Verdana"/>
          <w:color w:val="008000"/>
          <w:lang w:val="es-CO"/>
        </w:rPr>
        <w:t> </w:t>
      </w:r>
    </w:p>
    <w:p w:rsidR="007750D7" w:rsidRDefault="007750D7" w:rsidP="007750D7">
      <w:pPr>
        <w:jc w:val="both"/>
        <w:rPr>
          <w:color w:val="000000"/>
        </w:rPr>
      </w:pPr>
      <w:r>
        <w:rPr>
          <w:rFonts w:ascii="Verdana" w:hAnsi="Verdana"/>
          <w:i/>
          <w:iCs/>
          <w:color w:val="008000"/>
          <w:lang w:val="es-CO"/>
        </w:rPr>
        <w:t>Investigación y confirmación</w:t>
      </w:r>
    </w:p>
    <w:p w:rsidR="007750D7" w:rsidRDefault="007750D7" w:rsidP="007750D7">
      <w:pPr>
        <w:jc w:val="both"/>
        <w:rPr>
          <w:color w:val="000000"/>
        </w:rPr>
      </w:pPr>
      <w:r>
        <w:rPr>
          <w:rFonts w:ascii="Verdana" w:hAnsi="Verdana"/>
          <w:color w:val="000000"/>
          <w:lang w:val="es-CO"/>
        </w:rPr>
        <w:t> </w:t>
      </w:r>
    </w:p>
    <w:p w:rsidR="007750D7" w:rsidRDefault="007750D7" w:rsidP="007750D7">
      <w:pPr>
        <w:pStyle w:val="Textoindependiente2"/>
        <w:spacing w:after="0"/>
        <w:rPr>
          <w:color w:val="000000"/>
          <w:sz w:val="20"/>
          <w:szCs w:val="20"/>
        </w:rPr>
      </w:pPr>
      <w:r>
        <w:rPr>
          <w:rFonts w:ascii="Verdana" w:hAnsi="Verdana"/>
          <w:color w:val="000000"/>
          <w:sz w:val="20"/>
          <w:szCs w:val="20"/>
          <w:lang w:val="es-CO"/>
        </w:rPr>
        <w:t>La investigación consiste en buscar información de personas enteradas dentro o fuera de la entidad. Las investigaciones pueden tener un rango desde investigaciones formales por escrito dirigidas a terceros hasta investigaciones orales informales dirigidas a personas dentro de la entidad. Las respuestas a investigaciones pueden dar al auditor información adicional o evidencia de auditoría corroborativa.</w:t>
      </w:r>
    </w:p>
    <w:p w:rsidR="007750D7" w:rsidRDefault="007750D7" w:rsidP="007750D7">
      <w:pPr>
        <w:jc w:val="both"/>
        <w:rPr>
          <w:color w:val="000000"/>
          <w:sz w:val="24"/>
          <w:szCs w:val="24"/>
        </w:rPr>
      </w:pPr>
      <w:r>
        <w:rPr>
          <w:rFonts w:ascii="Verdana" w:hAnsi="Verdana"/>
          <w:color w:val="000000"/>
          <w:lang w:val="es-CO"/>
        </w:rPr>
        <w:t> </w:t>
      </w:r>
    </w:p>
    <w:p w:rsidR="007750D7" w:rsidRDefault="007750D7" w:rsidP="007750D7">
      <w:pPr>
        <w:pStyle w:val="Textoindependiente2"/>
        <w:spacing w:after="0"/>
        <w:rPr>
          <w:color w:val="000000"/>
          <w:sz w:val="20"/>
          <w:szCs w:val="20"/>
        </w:rPr>
      </w:pPr>
      <w:r>
        <w:rPr>
          <w:rFonts w:ascii="Verdana" w:hAnsi="Verdana"/>
          <w:color w:val="000000"/>
          <w:sz w:val="20"/>
          <w:szCs w:val="20"/>
          <w:lang w:val="es-CO"/>
        </w:rPr>
        <w:lastRenderedPageBreak/>
        <w:t>La confirmación consiste en la respuesta a una investigación para corroborar información contenida en los registros contables. Por ejemplo, el auditor ordinariamente busca confirmación directa de cuentas por cobrar por medio de comunicación con los deudores.</w:t>
      </w:r>
    </w:p>
    <w:p w:rsidR="007750D7" w:rsidRDefault="007750D7" w:rsidP="007750D7">
      <w:pPr>
        <w:jc w:val="both"/>
        <w:rPr>
          <w:color w:val="000000"/>
          <w:sz w:val="24"/>
          <w:szCs w:val="24"/>
        </w:rPr>
      </w:pPr>
      <w:r>
        <w:rPr>
          <w:rFonts w:ascii="Verdana" w:hAnsi="Verdana"/>
          <w:color w:val="008000"/>
          <w:lang w:val="es-CO"/>
        </w:rPr>
        <w:t> </w:t>
      </w:r>
    </w:p>
    <w:p w:rsidR="007750D7" w:rsidRDefault="007750D7" w:rsidP="007750D7">
      <w:pPr>
        <w:jc w:val="both"/>
        <w:rPr>
          <w:color w:val="000000"/>
        </w:rPr>
      </w:pPr>
      <w:r>
        <w:rPr>
          <w:rFonts w:ascii="Verdana" w:hAnsi="Verdana"/>
          <w:i/>
          <w:iCs/>
          <w:color w:val="008000"/>
          <w:lang w:val="es-CO"/>
        </w:rPr>
        <w:t>Cómputo</w:t>
      </w:r>
    </w:p>
    <w:p w:rsidR="007750D7" w:rsidRDefault="007750D7" w:rsidP="007750D7">
      <w:pPr>
        <w:jc w:val="both"/>
        <w:rPr>
          <w:color w:val="000000"/>
        </w:rPr>
      </w:pPr>
      <w:r>
        <w:rPr>
          <w:rFonts w:ascii="Verdana" w:hAnsi="Verdana"/>
          <w:color w:val="000000"/>
          <w:lang w:val="es-CO"/>
        </w:rPr>
        <w:t> </w:t>
      </w:r>
    </w:p>
    <w:p w:rsidR="007750D7" w:rsidRDefault="007750D7" w:rsidP="007750D7">
      <w:pPr>
        <w:pStyle w:val="Textoindependiente2"/>
        <w:spacing w:after="0"/>
        <w:rPr>
          <w:color w:val="000000"/>
          <w:sz w:val="20"/>
          <w:szCs w:val="20"/>
        </w:rPr>
      </w:pPr>
      <w:r>
        <w:rPr>
          <w:rFonts w:ascii="Verdana" w:hAnsi="Verdana"/>
          <w:color w:val="000000"/>
          <w:sz w:val="20"/>
          <w:szCs w:val="20"/>
          <w:lang w:val="es-CO"/>
        </w:rPr>
        <w:t>El cómputo consiste en verificar la exactitud aritmética de documentos fuente y registros contables o en desarrollar cálculos independientes.</w:t>
      </w:r>
    </w:p>
    <w:tbl>
      <w:tblPr>
        <w:tblW w:w="0" w:type="auto"/>
        <w:tblCellMar>
          <w:left w:w="0" w:type="dxa"/>
          <w:right w:w="0" w:type="dxa"/>
        </w:tblCellMar>
        <w:tblLook w:val="04A0"/>
      </w:tblPr>
      <w:tblGrid>
        <w:gridCol w:w="8978"/>
      </w:tblGrid>
      <w:tr w:rsidR="007750D7" w:rsidRPr="007750D7" w:rsidTr="007750D7">
        <w:trPr>
          <w:cantSplit/>
        </w:trPr>
        <w:tc>
          <w:tcPr>
            <w:tcW w:w="8978" w:type="dxa"/>
            <w:tcMar>
              <w:top w:w="0" w:type="dxa"/>
              <w:left w:w="70" w:type="dxa"/>
              <w:bottom w:w="0" w:type="dxa"/>
              <w:right w:w="70" w:type="dxa"/>
            </w:tcMar>
            <w:vAlign w:val="center"/>
            <w:hideMark/>
          </w:tcPr>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i/>
                <w:iCs/>
                <w:color w:val="008000"/>
                <w:sz w:val="24"/>
                <w:szCs w:val="24"/>
                <w:lang w:val="es-CO" w:eastAsia="es-SV"/>
              </w:rPr>
              <w:t>Procedimientos analíticos</w:t>
            </w:r>
          </w:p>
          <w:p w:rsidR="007750D7" w:rsidRPr="007750D7" w:rsidRDefault="007750D7" w:rsidP="007750D7">
            <w:pPr>
              <w:spacing w:after="0" w:line="240" w:lineRule="auto"/>
              <w:jc w:val="both"/>
              <w:rPr>
                <w:rFonts w:ascii="Times New Roman" w:eastAsia="Times New Roman" w:hAnsi="Times New Roman" w:cs="Times New Roman"/>
                <w:sz w:val="24"/>
                <w:szCs w:val="24"/>
                <w:lang w:val="es-SV" w:eastAsia="es-SV"/>
              </w:rPr>
            </w:pPr>
            <w:r w:rsidRPr="007750D7">
              <w:rPr>
                <w:rFonts w:ascii="Verdana" w:eastAsia="Times New Roman" w:hAnsi="Verdana" w:cs="Times New Roman"/>
                <w:sz w:val="24"/>
                <w:szCs w:val="24"/>
                <w:lang w:val="es-CO" w:eastAsia="es-SV"/>
              </w:rPr>
              <w:t> </w:t>
            </w:r>
          </w:p>
          <w:p w:rsidR="007750D7" w:rsidRPr="007750D7" w:rsidRDefault="007750D7" w:rsidP="007750D7">
            <w:pPr>
              <w:spacing w:after="0" w:line="240" w:lineRule="auto"/>
              <w:rPr>
                <w:rFonts w:ascii="Times New Roman" w:eastAsia="Times New Roman" w:hAnsi="Times New Roman" w:cs="Times New Roman"/>
                <w:sz w:val="20"/>
                <w:szCs w:val="20"/>
                <w:lang w:val="es-SV" w:eastAsia="es-SV"/>
              </w:rPr>
            </w:pPr>
            <w:r w:rsidRPr="007750D7">
              <w:rPr>
                <w:rFonts w:ascii="Verdana" w:eastAsia="Times New Roman" w:hAnsi="Verdana" w:cs="Times New Roman"/>
                <w:sz w:val="20"/>
                <w:szCs w:val="20"/>
                <w:lang w:val="es-CO" w:eastAsia="es-SV"/>
              </w:rPr>
              <w:t xml:space="preserve">Los procedimientos analíticos consisten en </w:t>
            </w:r>
            <w:proofErr w:type="gramStart"/>
            <w:r w:rsidRPr="007750D7">
              <w:rPr>
                <w:rFonts w:ascii="Verdana" w:eastAsia="Times New Roman" w:hAnsi="Verdana" w:cs="Times New Roman"/>
                <w:sz w:val="20"/>
                <w:szCs w:val="20"/>
                <w:lang w:val="es-CO" w:eastAsia="es-SV"/>
              </w:rPr>
              <w:t>el análisis de índices y tendencias significativos</w:t>
            </w:r>
            <w:proofErr w:type="gramEnd"/>
            <w:r w:rsidRPr="007750D7">
              <w:rPr>
                <w:rFonts w:ascii="Verdana" w:eastAsia="Times New Roman" w:hAnsi="Verdana" w:cs="Times New Roman"/>
                <w:sz w:val="20"/>
                <w:szCs w:val="20"/>
                <w:lang w:val="es-CO" w:eastAsia="es-SV"/>
              </w:rPr>
              <w:t xml:space="preserve"> incluyendo la investigación resultante de fluctuaciones y relaciones que son inconsistentes con otra información relevante o que se desvían de los montos pronosticados.</w:t>
            </w:r>
          </w:p>
          <w:p w:rsidR="007750D7" w:rsidRPr="007750D7" w:rsidRDefault="007750D7" w:rsidP="007750D7">
            <w:pPr>
              <w:spacing w:after="0" w:line="240" w:lineRule="auto"/>
              <w:jc w:val="center"/>
              <w:rPr>
                <w:rFonts w:ascii="Times New Roman" w:eastAsia="Times New Roman" w:hAnsi="Times New Roman" w:cs="Times New Roman"/>
                <w:sz w:val="20"/>
                <w:szCs w:val="20"/>
                <w:lang w:val="es-SV" w:eastAsia="es-SV"/>
              </w:rPr>
            </w:pPr>
            <w:r w:rsidRPr="007750D7">
              <w:rPr>
                <w:rFonts w:ascii="Times New Roman" w:eastAsia="Times New Roman" w:hAnsi="Times New Roman" w:cs="Times New Roman"/>
                <w:sz w:val="20"/>
                <w:szCs w:val="20"/>
                <w:lang w:val="es-SV" w:eastAsia="es-SV"/>
              </w:rPr>
              <w:t> </w:t>
            </w:r>
          </w:p>
        </w:tc>
      </w:tr>
      <w:tr w:rsidR="007750D7" w:rsidRPr="007750D7" w:rsidTr="007750D7">
        <w:tc>
          <w:tcPr>
            <w:tcW w:w="8978" w:type="dxa"/>
            <w:tcBorders>
              <w:top w:val="nil"/>
              <w:left w:val="nil"/>
              <w:bottom w:val="nil"/>
              <w:right w:val="nil"/>
            </w:tcBorders>
            <w:tcMar>
              <w:top w:w="0" w:type="dxa"/>
              <w:left w:w="225" w:type="dxa"/>
              <w:bottom w:w="75" w:type="dxa"/>
              <w:right w:w="225" w:type="dxa"/>
            </w:tcMar>
            <w:vAlign w:val="center"/>
            <w:hideMark/>
          </w:tcPr>
          <w:p w:rsidR="007750D7" w:rsidRPr="007750D7" w:rsidRDefault="007750D7" w:rsidP="007750D7">
            <w:pPr>
              <w:spacing w:after="0" w:line="240" w:lineRule="auto"/>
              <w:rPr>
                <w:rFonts w:ascii="Verdana" w:eastAsia="Times New Roman" w:hAnsi="Verdana" w:cs="Times New Roman"/>
                <w:color w:val="000000"/>
                <w:sz w:val="16"/>
                <w:szCs w:val="16"/>
                <w:lang w:val="es-SV" w:eastAsia="es-SV"/>
              </w:rPr>
            </w:pPr>
          </w:p>
        </w:tc>
      </w:tr>
      <w:tr w:rsidR="007750D7" w:rsidRPr="007750D7" w:rsidTr="007750D7">
        <w:tc>
          <w:tcPr>
            <w:tcW w:w="8978" w:type="dxa"/>
            <w:tcBorders>
              <w:top w:val="nil"/>
              <w:left w:val="nil"/>
              <w:bottom w:val="nil"/>
              <w:right w:val="nil"/>
            </w:tcBorders>
            <w:vAlign w:val="center"/>
            <w:hideMark/>
          </w:tcPr>
          <w:p w:rsidR="007750D7" w:rsidRPr="007750D7" w:rsidRDefault="007750D7" w:rsidP="007750D7">
            <w:pPr>
              <w:spacing w:before="100" w:beforeAutospacing="1" w:after="100" w:afterAutospacing="1" w:line="240" w:lineRule="auto"/>
              <w:rPr>
                <w:rFonts w:ascii="Times New Roman" w:eastAsia="Times New Roman" w:hAnsi="Times New Roman" w:cs="Times New Roman"/>
                <w:sz w:val="20"/>
                <w:szCs w:val="20"/>
                <w:lang w:val="es-SV" w:eastAsia="es-SV"/>
              </w:rPr>
            </w:pPr>
            <w:r w:rsidRPr="007750D7">
              <w:rPr>
                <w:rFonts w:ascii="Verdana" w:eastAsia="Times New Roman" w:hAnsi="Verdana" w:cs="Times New Roman"/>
                <w:i/>
                <w:iCs/>
                <w:color w:val="008000"/>
                <w:sz w:val="20"/>
                <w:szCs w:val="20"/>
                <w:lang w:val="es-SV" w:eastAsia="es-SV"/>
              </w:rPr>
              <w:t>*</w:t>
            </w:r>
            <w:r w:rsidRPr="007750D7">
              <w:rPr>
                <w:rFonts w:ascii="Verdana" w:eastAsia="Times New Roman" w:hAnsi="Verdana" w:cs="Times New Roman"/>
                <w:i/>
                <w:iCs/>
                <w:sz w:val="20"/>
                <w:lang w:val="es-SV" w:eastAsia="es-SV"/>
              </w:rPr>
              <w:t> </w:t>
            </w:r>
            <w:r w:rsidRPr="007750D7">
              <w:rPr>
                <w:rFonts w:ascii="Verdana" w:eastAsia="Times New Roman" w:hAnsi="Verdana" w:cs="Times New Roman"/>
                <w:i/>
                <w:iCs/>
                <w:color w:val="008000"/>
                <w:sz w:val="20"/>
                <w:szCs w:val="20"/>
                <w:lang w:val="es-SV" w:eastAsia="es-SV"/>
              </w:rPr>
              <w:t>Los</w:t>
            </w:r>
            <w:r w:rsidRPr="007750D7">
              <w:rPr>
                <w:rFonts w:ascii="Verdana" w:eastAsia="Times New Roman" w:hAnsi="Verdana" w:cs="Times New Roman"/>
                <w:i/>
                <w:iCs/>
                <w:color w:val="008000"/>
                <w:sz w:val="20"/>
                <w:lang w:val="es-CO" w:eastAsia="es-SV"/>
              </w:rPr>
              <w:t> </w:t>
            </w:r>
            <w:r w:rsidRPr="007750D7">
              <w:rPr>
                <w:rFonts w:ascii="Verdana" w:eastAsia="Times New Roman" w:hAnsi="Verdana" w:cs="Times New Roman"/>
                <w:i/>
                <w:iCs/>
                <w:color w:val="008000"/>
                <w:sz w:val="20"/>
                <w:szCs w:val="20"/>
                <w:lang w:val="es-CO" w:eastAsia="es-SV"/>
              </w:rPr>
              <w:t>principios básicos y procedimientos esenciales</w:t>
            </w:r>
            <w:r w:rsidRPr="007750D7">
              <w:rPr>
                <w:rFonts w:ascii="Verdana" w:eastAsia="Times New Roman" w:hAnsi="Verdana" w:cs="Times New Roman"/>
                <w:i/>
                <w:iCs/>
                <w:color w:val="008000"/>
                <w:sz w:val="20"/>
                <w:lang w:val="es-SV" w:eastAsia="es-SV"/>
              </w:rPr>
              <w:t> </w:t>
            </w:r>
            <w:r w:rsidRPr="007750D7">
              <w:rPr>
                <w:rFonts w:ascii="Verdana" w:eastAsia="Times New Roman" w:hAnsi="Verdana" w:cs="Times New Roman"/>
                <w:i/>
                <w:iCs/>
                <w:color w:val="008000"/>
                <w:sz w:val="20"/>
                <w:szCs w:val="20"/>
                <w:lang w:val="es-SV" w:eastAsia="es-SV"/>
              </w:rPr>
              <w:t>de</w:t>
            </w:r>
            <w:r w:rsidRPr="007750D7">
              <w:rPr>
                <w:rFonts w:ascii="Verdana" w:eastAsia="Times New Roman" w:hAnsi="Verdana" w:cs="Times New Roman"/>
                <w:i/>
                <w:iCs/>
                <w:color w:val="008000"/>
                <w:sz w:val="20"/>
                <w:lang w:val="es-SV" w:eastAsia="es-SV"/>
              </w:rPr>
              <w:t> </w:t>
            </w:r>
            <w:r w:rsidRPr="007750D7">
              <w:rPr>
                <w:rFonts w:ascii="Verdana" w:eastAsia="Times New Roman" w:hAnsi="Verdana" w:cs="Times New Roman"/>
                <w:i/>
                <w:iCs/>
                <w:color w:val="008000"/>
                <w:sz w:val="20"/>
                <w:szCs w:val="20"/>
                <w:lang w:val="es-SV" w:eastAsia="es-SV"/>
              </w:rPr>
              <w:t>l</w:t>
            </w:r>
            <w:proofErr w:type="spellStart"/>
            <w:r w:rsidRPr="007750D7">
              <w:rPr>
                <w:rFonts w:ascii="Verdana" w:eastAsia="Times New Roman" w:hAnsi="Verdana" w:cs="Times New Roman"/>
                <w:i/>
                <w:iCs/>
                <w:color w:val="008000"/>
                <w:sz w:val="20"/>
                <w:szCs w:val="20"/>
                <w:lang w:val="es-CO" w:eastAsia="es-SV"/>
              </w:rPr>
              <w:t>as</w:t>
            </w:r>
            <w:proofErr w:type="spellEnd"/>
            <w:r w:rsidRPr="007750D7">
              <w:rPr>
                <w:rFonts w:ascii="Verdana" w:eastAsia="Times New Roman" w:hAnsi="Verdana" w:cs="Times New Roman"/>
                <w:i/>
                <w:iCs/>
                <w:color w:val="008000"/>
                <w:sz w:val="20"/>
                <w:szCs w:val="20"/>
                <w:lang w:val="es-CO" w:eastAsia="es-SV"/>
              </w:rPr>
              <w:t xml:space="preserve"> Normas Internacionales de Auditoría</w:t>
            </w:r>
            <w:r w:rsidRPr="007750D7">
              <w:rPr>
                <w:rFonts w:ascii="Verdana" w:eastAsia="Times New Roman" w:hAnsi="Verdana" w:cs="Times New Roman"/>
                <w:i/>
                <w:iCs/>
                <w:color w:val="008000"/>
                <w:sz w:val="20"/>
                <w:lang w:val="es-CO" w:eastAsia="es-SV"/>
              </w:rPr>
              <w:t> </w:t>
            </w:r>
            <w:r w:rsidRPr="007750D7">
              <w:rPr>
                <w:rFonts w:ascii="Verdana" w:eastAsia="Times New Roman" w:hAnsi="Verdana" w:cs="Times New Roman"/>
                <w:i/>
                <w:iCs/>
                <w:color w:val="008000"/>
                <w:sz w:val="20"/>
                <w:szCs w:val="20"/>
                <w:lang w:val="es-SV" w:eastAsia="es-SV"/>
              </w:rPr>
              <w:t>se</w:t>
            </w:r>
            <w:r w:rsidRPr="007750D7">
              <w:rPr>
                <w:rFonts w:ascii="Verdana" w:eastAsia="Times New Roman" w:hAnsi="Verdana" w:cs="Times New Roman"/>
                <w:i/>
                <w:iCs/>
                <w:color w:val="008000"/>
                <w:sz w:val="20"/>
                <w:lang w:val="es-SV" w:eastAsia="es-SV"/>
              </w:rPr>
              <w:t> </w:t>
            </w:r>
            <w:r w:rsidRPr="007750D7">
              <w:rPr>
                <w:rFonts w:ascii="Verdana" w:eastAsia="Times New Roman" w:hAnsi="Verdana" w:cs="Times New Roman"/>
                <w:i/>
                <w:iCs/>
                <w:color w:val="008000"/>
                <w:sz w:val="20"/>
                <w:szCs w:val="20"/>
                <w:lang w:val="es-CO" w:eastAsia="es-SV"/>
              </w:rPr>
              <w:t>identifica</w:t>
            </w:r>
            <w:r w:rsidRPr="007750D7">
              <w:rPr>
                <w:rFonts w:ascii="Verdana" w:eastAsia="Times New Roman" w:hAnsi="Verdana" w:cs="Times New Roman"/>
                <w:i/>
                <w:iCs/>
                <w:color w:val="008000"/>
                <w:sz w:val="20"/>
                <w:szCs w:val="20"/>
                <w:lang w:val="es-SV" w:eastAsia="es-SV"/>
              </w:rPr>
              <w:t>n</w:t>
            </w:r>
            <w:r w:rsidRPr="007750D7">
              <w:rPr>
                <w:rFonts w:ascii="Verdana" w:eastAsia="Times New Roman" w:hAnsi="Verdana" w:cs="Times New Roman"/>
                <w:i/>
                <w:iCs/>
                <w:color w:val="008000"/>
                <w:sz w:val="20"/>
                <w:lang w:val="es-CO" w:eastAsia="es-SV"/>
              </w:rPr>
              <w:t> </w:t>
            </w:r>
            <w:r w:rsidRPr="007750D7">
              <w:rPr>
                <w:rFonts w:ascii="Verdana" w:eastAsia="Times New Roman" w:hAnsi="Verdana" w:cs="Times New Roman"/>
                <w:i/>
                <w:iCs/>
                <w:color w:val="008000"/>
                <w:sz w:val="20"/>
                <w:szCs w:val="20"/>
                <w:lang w:val="es-CO" w:eastAsia="es-SV"/>
              </w:rPr>
              <w:t>en negrilla</w:t>
            </w:r>
          </w:p>
        </w:tc>
      </w:tr>
    </w:tbl>
    <w:p w:rsidR="00D62157" w:rsidRPr="007750D7" w:rsidRDefault="007750D7">
      <w:pPr>
        <w:rPr>
          <w:lang w:val="es-SV"/>
        </w:rPr>
      </w:pPr>
      <w:hyperlink r:id="rId4" w:history="1">
        <w:r>
          <w:rPr>
            <w:rStyle w:val="Hipervnculo"/>
          </w:rPr>
          <w:t>http://fccea.unicauca.edu.co/old/evidencia.htm</w:t>
        </w:r>
      </w:hyperlink>
    </w:p>
    <w:sectPr w:rsidR="00D62157" w:rsidRPr="007750D7" w:rsidSect="00D621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othicP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0D7"/>
    <w:rsid w:val="00035A57"/>
    <w:rsid w:val="001B73F6"/>
    <w:rsid w:val="00230729"/>
    <w:rsid w:val="00314E64"/>
    <w:rsid w:val="00345A5F"/>
    <w:rsid w:val="00434412"/>
    <w:rsid w:val="004A4F33"/>
    <w:rsid w:val="007500E8"/>
    <w:rsid w:val="007750D7"/>
    <w:rsid w:val="00782240"/>
    <w:rsid w:val="008B54AF"/>
    <w:rsid w:val="00966655"/>
    <w:rsid w:val="009C72B0"/>
    <w:rsid w:val="00AA0CB0"/>
    <w:rsid w:val="00AF3DCD"/>
    <w:rsid w:val="00D62157"/>
    <w:rsid w:val="00E51F3B"/>
    <w:rsid w:val="00EA2BF1"/>
    <w:rsid w:val="00ED561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57"/>
  </w:style>
  <w:style w:type="paragraph" w:styleId="Ttulo2">
    <w:name w:val="heading 2"/>
    <w:basedOn w:val="Normal"/>
    <w:link w:val="Ttulo2Car"/>
    <w:uiPriority w:val="9"/>
    <w:qFormat/>
    <w:rsid w:val="007750D7"/>
    <w:pPr>
      <w:spacing w:before="100" w:beforeAutospacing="1" w:after="100" w:afterAutospacing="1" w:line="240" w:lineRule="auto"/>
      <w:outlineLvl w:val="1"/>
    </w:pPr>
    <w:rPr>
      <w:rFonts w:ascii="Times New Roman" w:eastAsia="Times New Roman" w:hAnsi="Times New Roman" w:cs="Times New Roman"/>
      <w:b/>
      <w:bCs/>
      <w:sz w:val="36"/>
      <w:szCs w:val="36"/>
      <w:lang w:val="es-SV" w:eastAsia="es-SV"/>
    </w:rPr>
  </w:style>
  <w:style w:type="paragraph" w:styleId="Ttulo7">
    <w:name w:val="heading 7"/>
    <w:basedOn w:val="Normal"/>
    <w:next w:val="Normal"/>
    <w:link w:val="Ttulo7Car"/>
    <w:uiPriority w:val="9"/>
    <w:semiHidden/>
    <w:unhideWhenUsed/>
    <w:qFormat/>
    <w:rsid w:val="007750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50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independiente">
    <w:name w:val="Body Text"/>
    <w:basedOn w:val="Normal"/>
    <w:link w:val="TextoindependienteCar"/>
    <w:uiPriority w:val="99"/>
    <w:unhideWhenUsed/>
    <w:rsid w:val="007750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extoindependienteCar">
    <w:name w:val="Texto independiente Car"/>
    <w:basedOn w:val="Fuentedeprrafopredeter"/>
    <w:link w:val="Textoindependiente"/>
    <w:uiPriority w:val="99"/>
    <w:rsid w:val="007750D7"/>
    <w:rPr>
      <w:rFonts w:ascii="Times New Roman" w:eastAsia="Times New Roman" w:hAnsi="Times New Roman" w:cs="Times New Roman"/>
      <w:sz w:val="24"/>
      <w:szCs w:val="24"/>
      <w:lang w:val="es-SV" w:eastAsia="es-SV"/>
    </w:rPr>
  </w:style>
  <w:style w:type="paragraph" w:customStyle="1" w:styleId="normal1">
    <w:name w:val="normal1"/>
    <w:basedOn w:val="Normal"/>
    <w:rsid w:val="007750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Sangradetextonormal">
    <w:name w:val="Body Text Indent"/>
    <w:basedOn w:val="Normal"/>
    <w:link w:val="SangradetextonormalCar"/>
    <w:uiPriority w:val="99"/>
    <w:semiHidden/>
    <w:unhideWhenUsed/>
    <w:rsid w:val="007750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SangradetextonormalCar">
    <w:name w:val="Sangría de texto normal Car"/>
    <w:basedOn w:val="Fuentedeprrafopredeter"/>
    <w:link w:val="Sangradetextonormal"/>
    <w:uiPriority w:val="99"/>
    <w:semiHidden/>
    <w:rsid w:val="007750D7"/>
    <w:rPr>
      <w:rFonts w:ascii="Times New Roman" w:eastAsia="Times New Roman" w:hAnsi="Times New Roman" w:cs="Times New Roman"/>
      <w:sz w:val="24"/>
      <w:szCs w:val="24"/>
      <w:lang w:val="es-SV" w:eastAsia="es-SV"/>
    </w:rPr>
  </w:style>
  <w:style w:type="character" w:customStyle="1" w:styleId="apple-converted-space">
    <w:name w:val="apple-converted-space"/>
    <w:basedOn w:val="Fuentedeprrafopredeter"/>
    <w:rsid w:val="007750D7"/>
  </w:style>
  <w:style w:type="paragraph" w:styleId="Sangra2detindependiente">
    <w:name w:val="Body Text Indent 2"/>
    <w:basedOn w:val="Normal"/>
    <w:link w:val="Sangra2detindependienteCar"/>
    <w:uiPriority w:val="99"/>
    <w:semiHidden/>
    <w:unhideWhenUsed/>
    <w:rsid w:val="007750D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50D7"/>
  </w:style>
  <w:style w:type="paragraph" w:styleId="Sangra3detindependiente">
    <w:name w:val="Body Text Indent 3"/>
    <w:basedOn w:val="Normal"/>
    <w:link w:val="Sangra3detindependienteCar"/>
    <w:uiPriority w:val="99"/>
    <w:semiHidden/>
    <w:unhideWhenUsed/>
    <w:rsid w:val="007750D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750D7"/>
    <w:rPr>
      <w:sz w:val="16"/>
      <w:szCs w:val="16"/>
    </w:rPr>
  </w:style>
  <w:style w:type="paragraph" w:styleId="Textoindependiente2">
    <w:name w:val="Body Text 2"/>
    <w:basedOn w:val="Normal"/>
    <w:link w:val="Textoindependiente2Car"/>
    <w:uiPriority w:val="99"/>
    <w:semiHidden/>
    <w:unhideWhenUsed/>
    <w:rsid w:val="007750D7"/>
    <w:pPr>
      <w:spacing w:after="120" w:line="480" w:lineRule="auto"/>
    </w:pPr>
  </w:style>
  <w:style w:type="character" w:customStyle="1" w:styleId="Textoindependiente2Car">
    <w:name w:val="Texto independiente 2 Car"/>
    <w:basedOn w:val="Fuentedeprrafopredeter"/>
    <w:link w:val="Textoindependiente2"/>
    <w:uiPriority w:val="99"/>
    <w:semiHidden/>
    <w:rsid w:val="007750D7"/>
  </w:style>
  <w:style w:type="character" w:customStyle="1" w:styleId="Ttulo2Car">
    <w:name w:val="Título 2 Car"/>
    <w:basedOn w:val="Fuentedeprrafopredeter"/>
    <w:link w:val="Ttulo2"/>
    <w:uiPriority w:val="9"/>
    <w:rsid w:val="007750D7"/>
    <w:rPr>
      <w:rFonts w:ascii="Times New Roman" w:eastAsia="Times New Roman" w:hAnsi="Times New Roman" w:cs="Times New Roman"/>
      <w:b/>
      <w:bCs/>
      <w:sz w:val="36"/>
      <w:szCs w:val="36"/>
      <w:lang w:val="es-SV" w:eastAsia="es-SV"/>
    </w:rPr>
  </w:style>
  <w:style w:type="character" w:customStyle="1" w:styleId="Ttulo7Car">
    <w:name w:val="Título 7 Car"/>
    <w:basedOn w:val="Fuentedeprrafopredeter"/>
    <w:link w:val="Ttulo7"/>
    <w:uiPriority w:val="9"/>
    <w:semiHidden/>
    <w:rsid w:val="007750D7"/>
    <w:rPr>
      <w:rFonts w:asciiTheme="majorHAnsi" w:eastAsiaTheme="majorEastAsia" w:hAnsiTheme="majorHAnsi" w:cstheme="majorBidi"/>
      <w:i/>
      <w:iCs/>
      <w:color w:val="404040" w:themeColor="text1" w:themeTint="BF"/>
    </w:rPr>
  </w:style>
  <w:style w:type="character" w:styleId="Hipervnculo">
    <w:name w:val="Hyperlink"/>
    <w:basedOn w:val="Fuentedeprrafopredeter"/>
    <w:uiPriority w:val="99"/>
    <w:semiHidden/>
    <w:unhideWhenUsed/>
    <w:rsid w:val="007750D7"/>
    <w:rPr>
      <w:color w:val="0000FF"/>
      <w:u w:val="single"/>
    </w:rPr>
  </w:style>
</w:styles>
</file>

<file path=word/webSettings.xml><?xml version="1.0" encoding="utf-8"?>
<w:webSettings xmlns:r="http://schemas.openxmlformats.org/officeDocument/2006/relationships" xmlns:w="http://schemas.openxmlformats.org/wordprocessingml/2006/main">
  <w:divs>
    <w:div w:id="178548914">
      <w:bodyDiv w:val="1"/>
      <w:marLeft w:val="0"/>
      <w:marRight w:val="0"/>
      <w:marTop w:val="0"/>
      <w:marBottom w:val="0"/>
      <w:divBdr>
        <w:top w:val="none" w:sz="0" w:space="0" w:color="auto"/>
        <w:left w:val="none" w:sz="0" w:space="0" w:color="auto"/>
        <w:bottom w:val="none" w:sz="0" w:space="0" w:color="auto"/>
        <w:right w:val="none" w:sz="0" w:space="0" w:color="auto"/>
      </w:divBdr>
    </w:div>
    <w:div w:id="328293719">
      <w:bodyDiv w:val="1"/>
      <w:marLeft w:val="0"/>
      <w:marRight w:val="0"/>
      <w:marTop w:val="0"/>
      <w:marBottom w:val="0"/>
      <w:divBdr>
        <w:top w:val="none" w:sz="0" w:space="0" w:color="auto"/>
        <w:left w:val="none" w:sz="0" w:space="0" w:color="auto"/>
        <w:bottom w:val="none" w:sz="0" w:space="0" w:color="auto"/>
        <w:right w:val="none" w:sz="0" w:space="0" w:color="auto"/>
      </w:divBdr>
    </w:div>
    <w:div w:id="773014330">
      <w:bodyDiv w:val="1"/>
      <w:marLeft w:val="0"/>
      <w:marRight w:val="0"/>
      <w:marTop w:val="0"/>
      <w:marBottom w:val="0"/>
      <w:divBdr>
        <w:top w:val="none" w:sz="0" w:space="0" w:color="auto"/>
        <w:left w:val="none" w:sz="0" w:space="0" w:color="auto"/>
        <w:bottom w:val="none" w:sz="0" w:space="0" w:color="auto"/>
        <w:right w:val="none" w:sz="0" w:space="0" w:color="auto"/>
      </w:divBdr>
    </w:div>
    <w:div w:id="1243835391">
      <w:bodyDiv w:val="1"/>
      <w:marLeft w:val="0"/>
      <w:marRight w:val="0"/>
      <w:marTop w:val="0"/>
      <w:marBottom w:val="0"/>
      <w:divBdr>
        <w:top w:val="none" w:sz="0" w:space="0" w:color="auto"/>
        <w:left w:val="none" w:sz="0" w:space="0" w:color="auto"/>
        <w:bottom w:val="none" w:sz="0" w:space="0" w:color="auto"/>
        <w:right w:val="none" w:sz="0" w:space="0" w:color="auto"/>
      </w:divBdr>
    </w:div>
    <w:div w:id="1493907217">
      <w:bodyDiv w:val="1"/>
      <w:marLeft w:val="0"/>
      <w:marRight w:val="0"/>
      <w:marTop w:val="0"/>
      <w:marBottom w:val="0"/>
      <w:divBdr>
        <w:top w:val="none" w:sz="0" w:space="0" w:color="auto"/>
        <w:left w:val="none" w:sz="0" w:space="0" w:color="auto"/>
        <w:bottom w:val="none" w:sz="0" w:space="0" w:color="auto"/>
        <w:right w:val="none" w:sz="0" w:space="0" w:color="auto"/>
      </w:divBdr>
    </w:div>
    <w:div w:id="1622295950">
      <w:bodyDiv w:val="1"/>
      <w:marLeft w:val="0"/>
      <w:marRight w:val="0"/>
      <w:marTop w:val="0"/>
      <w:marBottom w:val="0"/>
      <w:divBdr>
        <w:top w:val="none" w:sz="0" w:space="0" w:color="auto"/>
        <w:left w:val="none" w:sz="0" w:space="0" w:color="auto"/>
        <w:bottom w:val="none" w:sz="0" w:space="0" w:color="auto"/>
        <w:right w:val="none" w:sz="0" w:space="0" w:color="auto"/>
      </w:divBdr>
    </w:div>
    <w:div w:id="1689258787">
      <w:bodyDiv w:val="1"/>
      <w:marLeft w:val="0"/>
      <w:marRight w:val="0"/>
      <w:marTop w:val="0"/>
      <w:marBottom w:val="0"/>
      <w:divBdr>
        <w:top w:val="none" w:sz="0" w:space="0" w:color="auto"/>
        <w:left w:val="none" w:sz="0" w:space="0" w:color="auto"/>
        <w:bottom w:val="none" w:sz="0" w:space="0" w:color="auto"/>
        <w:right w:val="none" w:sz="0" w:space="0" w:color="auto"/>
      </w:divBdr>
    </w:div>
    <w:div w:id="19826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ccea.unicauca.edu.co/old/evidenc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Marcelino</dc:creator>
  <cp:lastModifiedBy>Marcelino</cp:lastModifiedBy>
  <cp:revision>2</cp:revision>
  <dcterms:created xsi:type="dcterms:W3CDTF">2011-08-13T15:21:00Z</dcterms:created>
  <dcterms:modified xsi:type="dcterms:W3CDTF">2011-08-13T16:39:00Z</dcterms:modified>
</cp:coreProperties>
</file>